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Pr="009C0EF0" w:rsidRDefault="007F29E4" w:rsidP="001E157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Case </w:t>
      </w:r>
      <w:r w:rsidR="00A12E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p>
    <w:p w:rsidR="001E1571" w:rsidRPr="006D4783" w:rsidRDefault="007F29E4" w:rsidP="001E1571">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1E1571" w:rsidRPr="006D4783" w:rsidRDefault="007F29E4" w:rsidP="001E1571">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1E1571" w:rsidRPr="006D4783" w:rsidRDefault="007F29E4" w:rsidP="001E1571">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1E1571" w:rsidRDefault="001E1571" w:rsidP="001E1571">
      <w:pPr>
        <w:jc w:val="cente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Default="001E1571">
      <w:pPr>
        <w:rPr>
          <w:b/>
          <w:bCs/>
        </w:rPr>
      </w:pPr>
    </w:p>
    <w:p w:rsidR="001E1571" w:rsidRPr="001E1571" w:rsidRDefault="007F29E4" w:rsidP="001E1571">
      <w:pPr>
        <w:jc w:val="center"/>
        <w:rPr>
          <w:rFonts w:ascii="Times New Roman" w:hAnsi="Times New Roman" w:cs="Times New Roman"/>
          <w:sz w:val="24"/>
          <w:szCs w:val="24"/>
        </w:rPr>
      </w:pPr>
      <w:r w:rsidRPr="001E1571">
        <w:rPr>
          <w:rFonts w:ascii="Times New Roman" w:hAnsi="Times New Roman" w:cs="Times New Roman"/>
          <w:sz w:val="24"/>
          <w:szCs w:val="24"/>
        </w:rPr>
        <w:lastRenderedPageBreak/>
        <w:t xml:space="preserve">Case </w:t>
      </w:r>
      <w:r w:rsidR="00A12E68">
        <w:rPr>
          <w:rFonts w:ascii="Times New Roman" w:hAnsi="Times New Roman" w:cs="Times New Roman"/>
          <w:sz w:val="24"/>
          <w:szCs w:val="24"/>
        </w:rPr>
        <w:t>#</w:t>
      </w:r>
      <w:r w:rsidRPr="001E1571">
        <w:rPr>
          <w:rFonts w:ascii="Times New Roman" w:hAnsi="Times New Roman" w:cs="Times New Roman"/>
          <w:sz w:val="24"/>
          <w:szCs w:val="24"/>
        </w:rPr>
        <w:t>1</w:t>
      </w:r>
    </w:p>
    <w:p w:rsidR="00C43E8C" w:rsidRPr="001E1571" w:rsidRDefault="007F29E4" w:rsidP="001E1571">
      <w:pPr>
        <w:jc w:val="center"/>
        <w:rPr>
          <w:rFonts w:ascii="Times New Roman" w:hAnsi="Times New Roman" w:cs="Times New Roman"/>
          <w:b/>
          <w:bCs/>
          <w:sz w:val="24"/>
          <w:szCs w:val="24"/>
        </w:rPr>
      </w:pPr>
      <w:r w:rsidRPr="001E1571">
        <w:rPr>
          <w:rFonts w:ascii="Times New Roman" w:hAnsi="Times New Roman" w:cs="Times New Roman"/>
          <w:b/>
          <w:bCs/>
          <w:sz w:val="24"/>
          <w:szCs w:val="24"/>
        </w:rPr>
        <w:t>Question 1</w:t>
      </w:r>
    </w:p>
    <w:p w:rsidR="00025DBE"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 xml:space="preserve">The patient presented in this case suffers from hypertension and diabetes type 2. The two diseases are linked, and they affect each other. Research shows that diabetes is one of the risk factors of hypertension. The disease process of diabetes leads to the occurrence of hypertension. Diabetes </w:t>
      </w:r>
      <w:r w:rsidR="00A72539">
        <w:rPr>
          <w:rFonts w:ascii="Times New Roman" w:hAnsi="Times New Roman" w:cs="Times New Roman"/>
          <w:color w:val="000000" w:themeColor="text1"/>
          <w:sz w:val="24"/>
          <w:szCs w:val="24"/>
        </w:rPr>
        <w:t xml:space="preserve">type 2 </w:t>
      </w:r>
      <w:r w:rsidRPr="00B37CE6">
        <w:rPr>
          <w:rFonts w:ascii="Times New Roman" w:hAnsi="Times New Roman" w:cs="Times New Roman"/>
          <w:color w:val="000000" w:themeColor="text1"/>
          <w:sz w:val="24"/>
          <w:szCs w:val="24"/>
        </w:rPr>
        <w:t>occurs when the body is resistant to insulin, or the pancreas does not produce adequate insulin</w:t>
      </w:r>
      <w:r w:rsidR="00C65A20">
        <w:rPr>
          <w:rFonts w:ascii="Times New Roman" w:hAnsi="Times New Roman" w:cs="Times New Roman"/>
          <w:color w:val="000000" w:themeColor="text1"/>
          <w:sz w:val="24"/>
          <w:szCs w:val="24"/>
        </w:rPr>
        <w:t xml:space="preserve"> (</w:t>
      </w:r>
      <w:r w:rsidR="00C65A20" w:rsidRPr="00B37CE6">
        <w:rPr>
          <w:rFonts w:ascii="Times New Roman" w:hAnsi="Times New Roman" w:cs="Times New Roman"/>
          <w:color w:val="000000" w:themeColor="text1"/>
          <w:sz w:val="24"/>
          <w:szCs w:val="24"/>
          <w:shd w:val="clear" w:color="auto" w:fill="FFFFFF"/>
        </w:rPr>
        <w:t>Skyler et al., 2017</w:t>
      </w:r>
      <w:r w:rsidR="00C65A20">
        <w:rPr>
          <w:rFonts w:ascii="Times New Roman" w:hAnsi="Times New Roman" w:cs="Times New Roman"/>
          <w:color w:val="000000" w:themeColor="text1"/>
          <w:sz w:val="24"/>
          <w:szCs w:val="24"/>
          <w:shd w:val="clear" w:color="auto" w:fill="FFFFFF"/>
        </w:rPr>
        <w:t>)</w:t>
      </w:r>
      <w:r w:rsidRPr="00B37CE6">
        <w:rPr>
          <w:rFonts w:ascii="Times New Roman" w:hAnsi="Times New Roman" w:cs="Times New Roman"/>
          <w:color w:val="000000" w:themeColor="text1"/>
          <w:sz w:val="24"/>
          <w:szCs w:val="24"/>
        </w:rPr>
        <w:t>. The risk factors associated with the occurrence of diabetes type 2 include genetic and environmental factors such as lack of exercise and poor diet. Insulin is the most significant hormone which takes part in the metabolism of glucose. The hormone is secreted by the pancreas, which is later released into the bloodstream. The circulation of insulin influences the entry of glucose into the cells, thus lowering the level of glucose in the blood. When blood glucose reduces the secretion of insulin decreases. In diabetes type 2, the level of insulin is produced at a lower level, or the body is unable to utilize the produced insulin for the metabolism of glucose</w:t>
      </w:r>
      <w:r w:rsidR="009A195F" w:rsidRPr="00B37CE6">
        <w:rPr>
          <w:rFonts w:ascii="Times New Roman" w:hAnsi="Times New Roman" w:cs="Times New Roman"/>
          <w:color w:val="000000" w:themeColor="text1"/>
          <w:sz w:val="24"/>
          <w:szCs w:val="24"/>
        </w:rPr>
        <w:t xml:space="preserve"> (</w:t>
      </w:r>
      <w:r w:rsidR="009A195F" w:rsidRPr="00B37CE6">
        <w:rPr>
          <w:rFonts w:ascii="Times New Roman" w:hAnsi="Times New Roman" w:cs="Times New Roman"/>
          <w:color w:val="000000" w:themeColor="text1"/>
          <w:sz w:val="24"/>
          <w:szCs w:val="24"/>
          <w:shd w:val="clear" w:color="auto" w:fill="FFFFFF"/>
        </w:rPr>
        <w:t>Skyler et al., 2017)</w:t>
      </w:r>
      <w:r w:rsidRPr="00B37CE6">
        <w:rPr>
          <w:rFonts w:ascii="Times New Roman" w:hAnsi="Times New Roman" w:cs="Times New Roman"/>
          <w:color w:val="000000" w:themeColor="text1"/>
          <w:sz w:val="24"/>
          <w:szCs w:val="24"/>
        </w:rPr>
        <w:t>. The process leads to increased blood sugar in the body leading to diabetes mellitus. When there is increased blood glucose, the arteries harden, and the plague is formed. This leads to the hardening of the arteries, which leads to hypertension due to increased resistance in the arteries.</w:t>
      </w:r>
    </w:p>
    <w:p w:rsidR="00C43E8C" w:rsidRPr="00B37CE6" w:rsidRDefault="007F29E4" w:rsidP="00B37CE6">
      <w:pPr>
        <w:spacing w:after="0" w:line="480" w:lineRule="auto"/>
        <w:ind w:firstLine="851"/>
        <w:jc w:val="center"/>
        <w:rPr>
          <w:rFonts w:ascii="Times New Roman" w:hAnsi="Times New Roman" w:cs="Times New Roman"/>
          <w:b/>
          <w:bCs/>
          <w:color w:val="000000" w:themeColor="text1"/>
          <w:sz w:val="24"/>
          <w:szCs w:val="24"/>
        </w:rPr>
      </w:pPr>
      <w:r w:rsidRPr="00B37CE6">
        <w:rPr>
          <w:rFonts w:ascii="Times New Roman" w:hAnsi="Times New Roman" w:cs="Times New Roman"/>
          <w:b/>
          <w:bCs/>
          <w:color w:val="000000" w:themeColor="text1"/>
          <w:sz w:val="24"/>
          <w:szCs w:val="24"/>
        </w:rPr>
        <w:t>Question 2</w:t>
      </w:r>
    </w:p>
    <w:p w:rsidR="003661D2"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 xml:space="preserve">In this case, the patient has diabetes type 2 and hypertension, which </w:t>
      </w:r>
      <w:r w:rsidR="004738A8" w:rsidRPr="00B37CE6">
        <w:rPr>
          <w:rFonts w:ascii="Times New Roman" w:hAnsi="Times New Roman" w:cs="Times New Roman"/>
          <w:color w:val="000000" w:themeColor="text1"/>
          <w:sz w:val="24"/>
          <w:szCs w:val="24"/>
        </w:rPr>
        <w:t>has not yet been resolved by the use of HCTZ. However, the treatment of the patient is irregular, which can be a contribution to the problem. Therefore, the patient needs a pharmacological therapy plan to optimize her health. The National Kidney Foundation suggests that a patient with diabetes should be managed to maintain a blood pressure of not more than 130/80 mmHg</w:t>
      </w:r>
      <w:r w:rsidR="009A195F" w:rsidRPr="00B37CE6">
        <w:rPr>
          <w:rFonts w:ascii="Times New Roman" w:hAnsi="Times New Roman" w:cs="Times New Roman"/>
          <w:color w:val="000000" w:themeColor="text1"/>
          <w:sz w:val="24"/>
          <w:szCs w:val="24"/>
        </w:rPr>
        <w:t xml:space="preserve"> (</w:t>
      </w:r>
      <w:r w:rsidR="009A195F" w:rsidRPr="00B37CE6">
        <w:rPr>
          <w:rFonts w:ascii="Times New Roman" w:hAnsi="Times New Roman" w:cs="Times New Roman"/>
          <w:color w:val="000000" w:themeColor="text1"/>
          <w:sz w:val="24"/>
          <w:szCs w:val="24"/>
          <w:shd w:val="clear" w:color="auto" w:fill="FFFFFF"/>
        </w:rPr>
        <w:t>Aronow, 2018)</w:t>
      </w:r>
      <w:r w:rsidR="004738A8" w:rsidRPr="00B37CE6">
        <w:rPr>
          <w:rFonts w:ascii="Times New Roman" w:hAnsi="Times New Roman" w:cs="Times New Roman"/>
          <w:color w:val="000000" w:themeColor="text1"/>
          <w:sz w:val="24"/>
          <w:szCs w:val="24"/>
        </w:rPr>
        <w:t xml:space="preserve">. Pharmacological management is one of the strategies to maintain blood pressure at the recommended range. ACE (Angiotensin-converting enzymes) inhibitors are recommended to </w:t>
      </w:r>
      <w:r w:rsidR="004738A8" w:rsidRPr="00B37CE6">
        <w:rPr>
          <w:rFonts w:ascii="Times New Roman" w:hAnsi="Times New Roman" w:cs="Times New Roman"/>
          <w:color w:val="000000" w:themeColor="text1"/>
          <w:sz w:val="24"/>
          <w:szCs w:val="24"/>
        </w:rPr>
        <w:lastRenderedPageBreak/>
        <w:t xml:space="preserve">prevent macrovascular and microvascular impacts of diabetes type 2. This group of drugs enhances the delay of diabetes, which prevents its progression to kidney disease. The drugs in the ACE inhibitors </w:t>
      </w:r>
      <w:r w:rsidR="00AD09A9" w:rsidRPr="00B37CE6">
        <w:rPr>
          <w:rFonts w:ascii="Times New Roman" w:hAnsi="Times New Roman" w:cs="Times New Roman"/>
          <w:color w:val="000000" w:themeColor="text1"/>
          <w:sz w:val="24"/>
          <w:szCs w:val="24"/>
        </w:rPr>
        <w:t>class</w:t>
      </w:r>
      <w:r w:rsidR="004738A8" w:rsidRPr="00B37CE6">
        <w:rPr>
          <w:rFonts w:ascii="Times New Roman" w:hAnsi="Times New Roman" w:cs="Times New Roman"/>
          <w:color w:val="000000" w:themeColor="text1"/>
          <w:sz w:val="24"/>
          <w:szCs w:val="24"/>
        </w:rPr>
        <w:t xml:space="preserve"> that will be helpful include </w:t>
      </w:r>
      <w:r w:rsidR="00AD09A9" w:rsidRPr="00B37CE6">
        <w:rPr>
          <w:rFonts w:ascii="Times New Roman" w:hAnsi="Times New Roman" w:cs="Times New Roman"/>
          <w:color w:val="000000" w:themeColor="text1"/>
          <w:sz w:val="24"/>
          <w:szCs w:val="24"/>
        </w:rPr>
        <w:t>enalapril, lisinopril, fosinopril, b</w:t>
      </w:r>
      <w:r w:rsidR="00360C99">
        <w:rPr>
          <w:rFonts w:ascii="Times New Roman" w:hAnsi="Times New Roman" w:cs="Times New Roman"/>
          <w:color w:val="000000" w:themeColor="text1"/>
          <w:sz w:val="24"/>
          <w:szCs w:val="24"/>
        </w:rPr>
        <w:t>enazepril, and captopril. ARB (Angiotensin Receptor B</w:t>
      </w:r>
      <w:r w:rsidR="00AD09A9" w:rsidRPr="00B37CE6">
        <w:rPr>
          <w:rFonts w:ascii="Times New Roman" w:hAnsi="Times New Roman" w:cs="Times New Roman"/>
          <w:color w:val="000000" w:themeColor="text1"/>
          <w:sz w:val="24"/>
          <w:szCs w:val="24"/>
        </w:rPr>
        <w:t>lockers) are also useful in reducing the impacts of diabetes type 2. This is the preferred group of drugs for the management of hypertension. The blood lowering property of this group of medication is significant for the patient. The medicines in this group, which should be included in the plan of care, include valsartan</w:t>
      </w:r>
      <w:r w:rsidR="000F37DA" w:rsidRPr="00B37CE6">
        <w:rPr>
          <w:rFonts w:ascii="Times New Roman" w:hAnsi="Times New Roman" w:cs="Times New Roman"/>
          <w:color w:val="000000" w:themeColor="text1"/>
          <w:sz w:val="24"/>
          <w:szCs w:val="24"/>
        </w:rPr>
        <w:t xml:space="preserve"> and </w:t>
      </w:r>
      <w:r w:rsidR="00AD09A9" w:rsidRPr="00B37CE6">
        <w:rPr>
          <w:rFonts w:ascii="Times New Roman" w:hAnsi="Times New Roman" w:cs="Times New Roman"/>
          <w:color w:val="000000" w:themeColor="text1"/>
          <w:sz w:val="24"/>
          <w:szCs w:val="24"/>
        </w:rPr>
        <w:t xml:space="preserve">telmisartan. </w:t>
      </w:r>
    </w:p>
    <w:p w:rsidR="00025DBE"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 xml:space="preserve">Diuretics will also be included in the plan to ensure that the patient's hypertensive problem is resolved. The most beneficial drug in this group is chlorthalidone, which is linked to diminished cerebrovascular and cardiovascular </w:t>
      </w:r>
      <w:r w:rsidR="0044455D" w:rsidRPr="00B37CE6">
        <w:rPr>
          <w:rFonts w:ascii="Times New Roman" w:hAnsi="Times New Roman" w:cs="Times New Roman"/>
          <w:color w:val="000000" w:themeColor="text1"/>
          <w:sz w:val="24"/>
          <w:szCs w:val="24"/>
        </w:rPr>
        <w:t>complications in diabetic patients. The target blood pressure for the patient is not attained; therefore, the beta-blockers such as atenolol and propranolol are significant in correcting hypertension</w:t>
      </w:r>
      <w:r w:rsidR="009A195F" w:rsidRPr="00B37CE6">
        <w:rPr>
          <w:rFonts w:ascii="Times New Roman" w:hAnsi="Times New Roman" w:cs="Times New Roman"/>
          <w:color w:val="000000" w:themeColor="text1"/>
          <w:sz w:val="24"/>
          <w:szCs w:val="24"/>
        </w:rPr>
        <w:t xml:space="preserve"> (</w:t>
      </w:r>
      <w:r w:rsidR="009A195F" w:rsidRPr="00B37CE6">
        <w:rPr>
          <w:rFonts w:ascii="Times New Roman" w:hAnsi="Times New Roman" w:cs="Times New Roman"/>
          <w:color w:val="000000" w:themeColor="text1"/>
          <w:sz w:val="24"/>
          <w:szCs w:val="24"/>
          <w:shd w:val="clear" w:color="auto" w:fill="FFFFFF"/>
        </w:rPr>
        <w:t>Aronow, 2018)</w:t>
      </w:r>
      <w:r w:rsidR="0044455D" w:rsidRPr="00B37CE6">
        <w:rPr>
          <w:rFonts w:ascii="Times New Roman" w:hAnsi="Times New Roman" w:cs="Times New Roman"/>
          <w:color w:val="000000" w:themeColor="text1"/>
          <w:sz w:val="24"/>
          <w:szCs w:val="24"/>
        </w:rPr>
        <w:t xml:space="preserve">. To diminish the cardiovascular complications in the patient, the use of calcium channel blockers such as amlodipine, felodipine, and nifedipine is essential. Combination therapy for the patient will help manage hypertension because the patient has long-term hypertension of 180/110 mmHg. </w:t>
      </w:r>
      <w:r w:rsidR="00C41C8F" w:rsidRPr="00B37CE6">
        <w:rPr>
          <w:rFonts w:ascii="Times New Roman" w:hAnsi="Times New Roman" w:cs="Times New Roman"/>
          <w:color w:val="000000" w:themeColor="text1"/>
          <w:sz w:val="24"/>
          <w:szCs w:val="24"/>
        </w:rPr>
        <w:t>For the patient, calcium channel blockers and beta-blockers will be used to manage the increased blood pressure as the third line drugs.</w:t>
      </w:r>
    </w:p>
    <w:p w:rsidR="0044455D" w:rsidRPr="00B37CE6" w:rsidRDefault="007F29E4" w:rsidP="00B37CE6">
      <w:pPr>
        <w:spacing w:after="0" w:line="480" w:lineRule="auto"/>
        <w:ind w:firstLine="851"/>
        <w:jc w:val="center"/>
        <w:rPr>
          <w:rFonts w:ascii="Times New Roman" w:hAnsi="Times New Roman" w:cs="Times New Roman"/>
          <w:b/>
          <w:bCs/>
          <w:color w:val="000000" w:themeColor="text1"/>
          <w:sz w:val="24"/>
          <w:szCs w:val="24"/>
        </w:rPr>
      </w:pPr>
      <w:r w:rsidRPr="00B37CE6">
        <w:rPr>
          <w:rFonts w:ascii="Times New Roman" w:hAnsi="Times New Roman" w:cs="Times New Roman"/>
          <w:b/>
          <w:bCs/>
          <w:color w:val="000000" w:themeColor="text1"/>
          <w:sz w:val="24"/>
          <w:szCs w:val="24"/>
        </w:rPr>
        <w:t>Question 3</w:t>
      </w:r>
    </w:p>
    <w:p w:rsidR="0044455D"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 xml:space="preserve">The main goal of management for the patient is to reduce the patient's blood pressure to 130/80 mmHg. Increased blood pressure in diabetic patients exposes the patient to further complications such as renal failure, stroke, and retinal disorder. Therefore, the treatment of the patient should be focused on the reduction of blood pressure. World health organization (WHO) states that for patients with diabetes type 2, the risk of </w:t>
      </w:r>
      <w:r w:rsidR="00A81E10" w:rsidRPr="00B37CE6">
        <w:rPr>
          <w:rFonts w:ascii="Times New Roman" w:hAnsi="Times New Roman" w:cs="Times New Roman"/>
          <w:color w:val="000000" w:themeColor="text1"/>
          <w:sz w:val="24"/>
          <w:szCs w:val="24"/>
        </w:rPr>
        <w:t xml:space="preserve">complications reduces with a decrease in blood pressure. The mortality rate of people with diabetes increases with the poor </w:t>
      </w:r>
      <w:r w:rsidR="00A81E10" w:rsidRPr="00B37CE6">
        <w:rPr>
          <w:rFonts w:ascii="Times New Roman" w:hAnsi="Times New Roman" w:cs="Times New Roman"/>
          <w:color w:val="000000" w:themeColor="text1"/>
          <w:sz w:val="24"/>
          <w:szCs w:val="24"/>
        </w:rPr>
        <w:lastRenderedPageBreak/>
        <w:t>management of hypertension. The patient's blood pressure should be monitored consistently to ensure that the management of hypertension is evaluated. According to the American Diabetes Association (2019), controlling hypertension is one of the significant elements of diabetes care. Therefore, the patient needs to be monitored, and both pharmacological and non-pharmacological management is used to ensure recovery.</w:t>
      </w:r>
    </w:p>
    <w:p w:rsidR="00A81E10" w:rsidRPr="00B37CE6" w:rsidRDefault="007F29E4" w:rsidP="00B37CE6">
      <w:pPr>
        <w:spacing w:after="0" w:line="480" w:lineRule="auto"/>
        <w:ind w:firstLine="851"/>
        <w:jc w:val="center"/>
        <w:rPr>
          <w:rFonts w:ascii="Times New Roman" w:hAnsi="Times New Roman" w:cs="Times New Roman"/>
          <w:b/>
          <w:bCs/>
          <w:color w:val="000000" w:themeColor="text1"/>
          <w:sz w:val="24"/>
          <w:szCs w:val="24"/>
        </w:rPr>
      </w:pPr>
      <w:r w:rsidRPr="00B37CE6">
        <w:rPr>
          <w:rFonts w:ascii="Times New Roman" w:hAnsi="Times New Roman" w:cs="Times New Roman"/>
          <w:b/>
          <w:bCs/>
          <w:color w:val="000000" w:themeColor="text1"/>
          <w:sz w:val="24"/>
          <w:szCs w:val="24"/>
        </w:rPr>
        <w:t>Question 4</w:t>
      </w:r>
    </w:p>
    <w:p w:rsidR="00EC6F3F"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 xml:space="preserve">The use of combined therapy will influence drug interactions, which will lead to various impacts on the patient.  </w:t>
      </w:r>
      <w:r w:rsidR="00C41C8F" w:rsidRPr="00B37CE6">
        <w:rPr>
          <w:rFonts w:ascii="Times New Roman" w:hAnsi="Times New Roman" w:cs="Times New Roman"/>
          <w:color w:val="000000" w:themeColor="text1"/>
          <w:sz w:val="24"/>
          <w:szCs w:val="24"/>
        </w:rPr>
        <w:t>Numerous side effects will occur when the better blockers are combined with the calcium channel blockers. A combination of propranolol and chlorpromazine may lead to hypotension and arrhythmias. This results from the interference of each drug's excretion through the hepatic system</w:t>
      </w:r>
      <w:r w:rsidR="001E1571" w:rsidRPr="00B37CE6">
        <w:rPr>
          <w:rFonts w:ascii="Times New Roman" w:hAnsi="Times New Roman" w:cs="Times New Roman"/>
          <w:color w:val="000000" w:themeColor="text1"/>
          <w:sz w:val="24"/>
          <w:szCs w:val="24"/>
        </w:rPr>
        <w:t xml:space="preserve"> (</w:t>
      </w:r>
      <w:r w:rsidR="001E1571" w:rsidRPr="00B37CE6">
        <w:rPr>
          <w:rFonts w:ascii="Times New Roman" w:hAnsi="Times New Roman" w:cs="Times New Roman"/>
          <w:color w:val="000000" w:themeColor="text1"/>
          <w:sz w:val="24"/>
          <w:szCs w:val="24"/>
          <w:shd w:val="clear" w:color="auto" w:fill="FFFFFF"/>
        </w:rPr>
        <w:t>de Boer et al., 2017)</w:t>
      </w:r>
      <w:r w:rsidR="00C41C8F" w:rsidRPr="00B37CE6">
        <w:rPr>
          <w:rFonts w:ascii="Times New Roman" w:hAnsi="Times New Roman" w:cs="Times New Roman"/>
          <w:color w:val="000000" w:themeColor="text1"/>
          <w:sz w:val="24"/>
          <w:szCs w:val="24"/>
        </w:rPr>
        <w:t xml:space="preserve">. Also, the use of the two groups of medicines may lead to lengthy hypoglycemia. The patient should be advised on the onset of the signs of hypotension when at homes such as blurred vision, poor concentration, dehydration, </w:t>
      </w:r>
      <w:r w:rsidRPr="00B37CE6">
        <w:rPr>
          <w:rFonts w:ascii="Times New Roman" w:hAnsi="Times New Roman" w:cs="Times New Roman"/>
          <w:color w:val="000000" w:themeColor="text1"/>
          <w:sz w:val="24"/>
          <w:szCs w:val="24"/>
        </w:rPr>
        <w:t>fainting, dizziness, and nausea. Also, the patient should be educated on the significance of consuming energy, giving foods to prevent hypoglycemia. The patient should monitor her blood sugar consistently.</w:t>
      </w:r>
    </w:p>
    <w:p w:rsidR="00A81E10" w:rsidRPr="00B37CE6" w:rsidRDefault="007F29E4" w:rsidP="00B37CE6">
      <w:pPr>
        <w:spacing w:after="0" w:line="480" w:lineRule="auto"/>
        <w:ind w:firstLine="851"/>
        <w:jc w:val="center"/>
        <w:rPr>
          <w:rFonts w:ascii="Times New Roman" w:hAnsi="Times New Roman" w:cs="Times New Roman"/>
          <w:b/>
          <w:bCs/>
          <w:color w:val="000000" w:themeColor="text1"/>
          <w:sz w:val="24"/>
          <w:szCs w:val="24"/>
        </w:rPr>
      </w:pPr>
      <w:r w:rsidRPr="00B37CE6">
        <w:rPr>
          <w:rFonts w:ascii="Times New Roman" w:hAnsi="Times New Roman" w:cs="Times New Roman"/>
          <w:b/>
          <w:bCs/>
          <w:color w:val="000000" w:themeColor="text1"/>
          <w:sz w:val="24"/>
          <w:szCs w:val="24"/>
        </w:rPr>
        <w:t>Question 5</w:t>
      </w:r>
    </w:p>
    <w:p w:rsidR="00CE25B6"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Working as a team is an essential process for the management of patients in the hospital. It ensures that the patient receives quality care</w:t>
      </w:r>
      <w:r w:rsidR="001E1571" w:rsidRPr="00B37CE6">
        <w:rPr>
          <w:rFonts w:ascii="Times New Roman" w:hAnsi="Times New Roman" w:cs="Times New Roman"/>
          <w:color w:val="000000" w:themeColor="text1"/>
          <w:sz w:val="24"/>
          <w:szCs w:val="24"/>
        </w:rPr>
        <w:t xml:space="preserve"> (</w:t>
      </w:r>
      <w:r w:rsidR="001E1571" w:rsidRPr="00B37CE6">
        <w:rPr>
          <w:rFonts w:ascii="Times New Roman" w:hAnsi="Times New Roman" w:cs="Times New Roman"/>
          <w:color w:val="000000" w:themeColor="text1"/>
          <w:sz w:val="24"/>
          <w:szCs w:val="24"/>
          <w:shd w:val="clear" w:color="auto" w:fill="FFFFFF"/>
        </w:rPr>
        <w:t>Potpara &amp; Mujovic, 2019)</w:t>
      </w:r>
      <w:r w:rsidRPr="00B37CE6">
        <w:rPr>
          <w:rFonts w:ascii="Times New Roman" w:hAnsi="Times New Roman" w:cs="Times New Roman"/>
          <w:color w:val="000000" w:themeColor="text1"/>
          <w:sz w:val="24"/>
          <w:szCs w:val="24"/>
        </w:rPr>
        <w:t>. Physicians are pa</w:t>
      </w:r>
      <w:r w:rsidR="001E1571" w:rsidRPr="00B37CE6">
        <w:rPr>
          <w:rFonts w:ascii="Times New Roman" w:hAnsi="Times New Roman" w:cs="Times New Roman"/>
          <w:color w:val="000000" w:themeColor="text1"/>
          <w:sz w:val="24"/>
          <w:szCs w:val="24"/>
        </w:rPr>
        <w:t>r</w:t>
      </w:r>
      <w:r w:rsidRPr="00B37CE6">
        <w:rPr>
          <w:rFonts w:ascii="Times New Roman" w:hAnsi="Times New Roman" w:cs="Times New Roman"/>
          <w:color w:val="000000" w:themeColor="text1"/>
          <w:sz w:val="24"/>
          <w:szCs w:val="24"/>
        </w:rPr>
        <w:t xml:space="preserve">t of the team members involved in providing care to the patient. They carry out an assessment of the patient and daily evaluation of the care provided to the patient. The physician makes sure that the pharmacological and non-pharmacological care provided to the patient is competent. Nurses are essential in ensuring that the hands-on care of the patient is executed. They ensure that the patient is doing well through assessment. The nursing care is developed by the nurses to ensure that the patient's needs are catered for by developing </w:t>
      </w:r>
      <w:r w:rsidRPr="00B37CE6">
        <w:rPr>
          <w:rFonts w:ascii="Times New Roman" w:hAnsi="Times New Roman" w:cs="Times New Roman"/>
          <w:color w:val="000000" w:themeColor="text1"/>
          <w:sz w:val="24"/>
          <w:szCs w:val="24"/>
        </w:rPr>
        <w:lastRenderedPageBreak/>
        <w:t>patient care objectives and carrying out implementations. Nutritionists are also involved in providing measurable nutritional supply to the patient to ensure that diabetes is controlled. Working together as a team ensures that the outcome of the patient is positive. Teamwork ensures that there is a division of care, and each team member provides specific care, which ensures the delivery of quality treatment to the patient.</w:t>
      </w:r>
    </w:p>
    <w:p w:rsidR="00EC6F3F" w:rsidRPr="00B37CE6" w:rsidRDefault="007F29E4" w:rsidP="00B37CE6">
      <w:pPr>
        <w:spacing w:after="0" w:line="480" w:lineRule="auto"/>
        <w:ind w:firstLine="851"/>
        <w:jc w:val="center"/>
        <w:rPr>
          <w:rFonts w:ascii="Times New Roman" w:hAnsi="Times New Roman" w:cs="Times New Roman"/>
          <w:b/>
          <w:bCs/>
          <w:color w:val="000000" w:themeColor="text1"/>
          <w:sz w:val="24"/>
          <w:szCs w:val="24"/>
        </w:rPr>
      </w:pPr>
      <w:r w:rsidRPr="00B37CE6">
        <w:rPr>
          <w:rFonts w:ascii="Times New Roman" w:hAnsi="Times New Roman" w:cs="Times New Roman"/>
          <w:b/>
          <w:bCs/>
          <w:color w:val="000000" w:themeColor="text1"/>
          <w:sz w:val="24"/>
          <w:szCs w:val="24"/>
        </w:rPr>
        <w:t>Question 6</w:t>
      </w:r>
    </w:p>
    <w:p w:rsidR="00CE25B6"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The patient should be educated about dietary habits. The patient should be advised about foot care through inspection of the feet thrice a week, especially after exercise</w:t>
      </w:r>
      <w:r w:rsidR="001E1571" w:rsidRPr="00B37CE6">
        <w:rPr>
          <w:rFonts w:ascii="Times New Roman" w:hAnsi="Times New Roman" w:cs="Times New Roman"/>
          <w:color w:val="000000" w:themeColor="text1"/>
          <w:sz w:val="24"/>
          <w:szCs w:val="24"/>
        </w:rPr>
        <w:t xml:space="preserve"> (</w:t>
      </w:r>
      <w:r w:rsidR="001E1571" w:rsidRPr="00B37CE6">
        <w:rPr>
          <w:rFonts w:ascii="Times New Roman" w:hAnsi="Times New Roman" w:cs="Times New Roman"/>
          <w:color w:val="000000" w:themeColor="text1"/>
          <w:sz w:val="24"/>
          <w:szCs w:val="24"/>
          <w:shd w:val="clear" w:color="auto" w:fill="FFFFFF"/>
        </w:rPr>
        <w:t>Skyler et al., 2017)</w:t>
      </w:r>
      <w:r w:rsidRPr="00B37CE6">
        <w:rPr>
          <w:rFonts w:ascii="Times New Roman" w:hAnsi="Times New Roman" w:cs="Times New Roman"/>
          <w:color w:val="000000" w:themeColor="text1"/>
          <w:sz w:val="24"/>
          <w:szCs w:val="24"/>
        </w:rPr>
        <w:t>. When cleaning the feet, the patient should ensure that she is gentle, and the application of moisturizers is necessary. The nails should be kept short and clean.</w:t>
      </w:r>
      <w:r w:rsidR="000C7873" w:rsidRPr="00B37CE6">
        <w:rPr>
          <w:rFonts w:ascii="Times New Roman" w:hAnsi="Times New Roman" w:cs="Times New Roman"/>
          <w:color w:val="000000" w:themeColor="text1"/>
          <w:sz w:val="24"/>
          <w:szCs w:val="24"/>
        </w:rPr>
        <w:t xml:space="preserve"> The patient should be educated on the significance of exercise at her own convenient time. The patient should ensure that when exercising, she wears shoes to prevent trauma. </w:t>
      </w:r>
      <w:r w:rsidRPr="00B37CE6">
        <w:rPr>
          <w:rFonts w:ascii="Times New Roman" w:hAnsi="Times New Roman" w:cs="Times New Roman"/>
          <w:color w:val="000000" w:themeColor="text1"/>
          <w:sz w:val="24"/>
          <w:szCs w:val="24"/>
        </w:rPr>
        <w:t xml:space="preserve"> The patient should be advised about regular daily monitoring of blood sugar. </w:t>
      </w:r>
      <w:r w:rsidR="000C7873" w:rsidRPr="00B37CE6">
        <w:rPr>
          <w:rFonts w:ascii="Times New Roman" w:hAnsi="Times New Roman" w:cs="Times New Roman"/>
          <w:color w:val="000000" w:themeColor="text1"/>
          <w:sz w:val="24"/>
          <w:szCs w:val="24"/>
        </w:rPr>
        <w:t>The patient should be educated about the complications that may occur, such as hypoglycemia.</w:t>
      </w:r>
    </w:p>
    <w:p w:rsidR="000C7873" w:rsidRPr="00B37CE6" w:rsidRDefault="007F29E4" w:rsidP="00B37CE6">
      <w:pPr>
        <w:spacing w:after="0" w:line="480" w:lineRule="auto"/>
        <w:ind w:firstLine="851"/>
        <w:jc w:val="center"/>
        <w:rPr>
          <w:rFonts w:ascii="Times New Roman" w:hAnsi="Times New Roman" w:cs="Times New Roman"/>
          <w:b/>
          <w:bCs/>
          <w:color w:val="000000" w:themeColor="text1"/>
          <w:sz w:val="24"/>
          <w:szCs w:val="24"/>
        </w:rPr>
      </w:pPr>
      <w:r w:rsidRPr="00B37CE6">
        <w:rPr>
          <w:rFonts w:ascii="Times New Roman" w:hAnsi="Times New Roman" w:cs="Times New Roman"/>
          <w:b/>
          <w:bCs/>
          <w:color w:val="000000" w:themeColor="text1"/>
          <w:sz w:val="24"/>
          <w:szCs w:val="24"/>
        </w:rPr>
        <w:t>Question 7</w:t>
      </w:r>
    </w:p>
    <w:p w:rsidR="000C7873" w:rsidRPr="00B37CE6" w:rsidRDefault="007F29E4" w:rsidP="00B37CE6">
      <w:pPr>
        <w:spacing w:after="0" w:line="480" w:lineRule="auto"/>
        <w:ind w:firstLine="851"/>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t xml:space="preserve">Various health maintenance needs should be observed by the patient to enhance optimum health status. Blood pressure monitoring is one of the elements. The patient should have a blood pressure machine at home to ensure regular control of blood pressure to realize when it is abnormal. The patient should ensure that she visits </w:t>
      </w:r>
      <w:r w:rsidR="009A195F" w:rsidRPr="00B37CE6">
        <w:rPr>
          <w:rFonts w:ascii="Times New Roman" w:hAnsi="Times New Roman" w:cs="Times New Roman"/>
          <w:color w:val="000000" w:themeColor="text1"/>
          <w:sz w:val="24"/>
          <w:szCs w:val="24"/>
        </w:rPr>
        <w:t>the hospital for physical assessments to discover the complications</w:t>
      </w:r>
      <w:r w:rsidR="001E1571" w:rsidRPr="00B37CE6">
        <w:rPr>
          <w:rFonts w:ascii="Times New Roman" w:hAnsi="Times New Roman" w:cs="Times New Roman"/>
          <w:color w:val="000000" w:themeColor="text1"/>
          <w:sz w:val="24"/>
          <w:szCs w:val="24"/>
        </w:rPr>
        <w:t xml:space="preserve"> (</w:t>
      </w:r>
      <w:r w:rsidR="001E1571" w:rsidRPr="00B37CE6">
        <w:rPr>
          <w:rFonts w:ascii="Times New Roman" w:hAnsi="Times New Roman" w:cs="Times New Roman"/>
          <w:color w:val="000000" w:themeColor="text1"/>
          <w:sz w:val="24"/>
          <w:szCs w:val="24"/>
          <w:shd w:val="clear" w:color="auto" w:fill="FFFFFF"/>
        </w:rPr>
        <w:t>Skyler et al., 2017)</w:t>
      </w:r>
      <w:r w:rsidR="009A195F" w:rsidRPr="00B37CE6">
        <w:rPr>
          <w:rFonts w:ascii="Times New Roman" w:hAnsi="Times New Roman" w:cs="Times New Roman"/>
          <w:color w:val="000000" w:themeColor="text1"/>
          <w:sz w:val="24"/>
          <w:szCs w:val="24"/>
        </w:rPr>
        <w:t>. The patient should pay more attention to foot care. The patient should ensure that she washes her feet every day with warm water and moisturize them. Also, the prevention of trauma should be done by wearing shoes.</w:t>
      </w:r>
    </w:p>
    <w:p w:rsidR="00B37CE6" w:rsidRDefault="00B37CE6" w:rsidP="00B37CE6">
      <w:pPr>
        <w:spacing w:after="0" w:line="480" w:lineRule="auto"/>
        <w:ind w:firstLine="851"/>
        <w:rPr>
          <w:rFonts w:ascii="Times New Roman" w:hAnsi="Times New Roman" w:cs="Times New Roman"/>
          <w:color w:val="000000" w:themeColor="text1"/>
          <w:sz w:val="24"/>
          <w:szCs w:val="24"/>
        </w:rPr>
      </w:pPr>
    </w:p>
    <w:p w:rsidR="00B37CE6" w:rsidRDefault="00B37CE6" w:rsidP="00B37CE6">
      <w:pPr>
        <w:spacing w:after="0" w:line="480" w:lineRule="auto"/>
        <w:ind w:firstLine="851"/>
        <w:rPr>
          <w:rFonts w:ascii="Times New Roman" w:hAnsi="Times New Roman" w:cs="Times New Roman"/>
          <w:color w:val="000000" w:themeColor="text1"/>
          <w:sz w:val="24"/>
          <w:szCs w:val="24"/>
        </w:rPr>
      </w:pPr>
    </w:p>
    <w:p w:rsidR="00E7525E" w:rsidRDefault="00E7525E" w:rsidP="00B37CE6">
      <w:pPr>
        <w:spacing w:after="0" w:line="480" w:lineRule="auto"/>
        <w:ind w:firstLine="851"/>
        <w:jc w:val="center"/>
        <w:rPr>
          <w:rFonts w:ascii="Times New Roman" w:hAnsi="Times New Roman" w:cs="Times New Roman"/>
          <w:color w:val="000000" w:themeColor="text1"/>
          <w:sz w:val="24"/>
          <w:szCs w:val="24"/>
        </w:rPr>
      </w:pPr>
    </w:p>
    <w:p w:rsidR="00B37CE6" w:rsidRPr="00B37CE6" w:rsidRDefault="007F29E4" w:rsidP="00B37CE6">
      <w:pPr>
        <w:spacing w:after="0" w:line="480" w:lineRule="auto"/>
        <w:ind w:firstLine="851"/>
        <w:jc w:val="center"/>
        <w:rPr>
          <w:rFonts w:ascii="Times New Roman" w:hAnsi="Times New Roman" w:cs="Times New Roman"/>
          <w:color w:val="000000" w:themeColor="text1"/>
          <w:sz w:val="24"/>
          <w:szCs w:val="24"/>
        </w:rPr>
      </w:pPr>
      <w:r w:rsidRPr="00B37CE6">
        <w:rPr>
          <w:rFonts w:ascii="Times New Roman" w:hAnsi="Times New Roman" w:cs="Times New Roman"/>
          <w:color w:val="000000" w:themeColor="text1"/>
          <w:sz w:val="24"/>
          <w:szCs w:val="24"/>
        </w:rPr>
        <w:lastRenderedPageBreak/>
        <w:t>References</w:t>
      </w:r>
    </w:p>
    <w:p w:rsidR="00B37CE6" w:rsidRPr="00B37CE6" w:rsidRDefault="007F29E4" w:rsidP="00B37CE6">
      <w:pPr>
        <w:spacing w:after="0" w:line="480" w:lineRule="auto"/>
        <w:ind w:left="851" w:hanging="851"/>
        <w:rPr>
          <w:rFonts w:ascii="Times New Roman" w:hAnsi="Times New Roman" w:cs="Times New Roman"/>
          <w:color w:val="000000" w:themeColor="text1"/>
          <w:sz w:val="24"/>
          <w:szCs w:val="24"/>
          <w:shd w:val="clear" w:color="auto" w:fill="FFFFFF"/>
        </w:rPr>
      </w:pPr>
      <w:r w:rsidRPr="00B37CE6">
        <w:rPr>
          <w:rFonts w:ascii="Times New Roman" w:hAnsi="Times New Roman" w:cs="Times New Roman"/>
          <w:color w:val="000000" w:themeColor="text1"/>
          <w:sz w:val="24"/>
          <w:szCs w:val="24"/>
          <w:shd w:val="clear" w:color="auto" w:fill="FFFFFF"/>
        </w:rPr>
        <w:t>American Diabetes Association. (2019). </w:t>
      </w:r>
      <w:r w:rsidRPr="00B37CE6">
        <w:rPr>
          <w:rFonts w:ascii="Times New Roman" w:hAnsi="Times New Roman" w:cs="Times New Roman"/>
          <w:i/>
          <w:iCs/>
          <w:color w:val="000000" w:themeColor="text1"/>
          <w:sz w:val="24"/>
          <w:szCs w:val="24"/>
          <w:shd w:val="clear" w:color="auto" w:fill="FFFFFF"/>
        </w:rPr>
        <w:t>Journal of Clinical and Applied Research and Education</w:t>
      </w:r>
      <w:r w:rsidRPr="00B37CE6">
        <w:rPr>
          <w:rFonts w:ascii="Times New Roman" w:hAnsi="Times New Roman" w:cs="Times New Roman"/>
          <w:color w:val="000000" w:themeColor="text1"/>
          <w:sz w:val="24"/>
          <w:szCs w:val="24"/>
          <w:shd w:val="clear" w:color="auto" w:fill="FFFFFF"/>
        </w:rPr>
        <w:t>, </w:t>
      </w:r>
      <w:r w:rsidRPr="00B37CE6">
        <w:rPr>
          <w:rFonts w:ascii="Times New Roman" w:hAnsi="Times New Roman" w:cs="Times New Roman"/>
          <w:i/>
          <w:iCs/>
          <w:color w:val="000000" w:themeColor="text1"/>
          <w:sz w:val="24"/>
          <w:szCs w:val="24"/>
          <w:shd w:val="clear" w:color="auto" w:fill="FFFFFF"/>
        </w:rPr>
        <w:t>4</w:t>
      </w:r>
      <w:r w:rsidRPr="00B37CE6">
        <w:rPr>
          <w:rFonts w:ascii="Times New Roman" w:hAnsi="Times New Roman" w:cs="Times New Roman"/>
          <w:color w:val="000000" w:themeColor="text1"/>
          <w:sz w:val="24"/>
          <w:szCs w:val="24"/>
          <w:shd w:val="clear" w:color="auto" w:fill="FFFFFF"/>
        </w:rPr>
        <w:t xml:space="preserve">(2). Retrieved from </w:t>
      </w:r>
      <w:hyperlink r:id="rId6" w:history="1">
        <w:r w:rsidRPr="00B37CE6">
          <w:rPr>
            <w:rStyle w:val="Hyperlink"/>
            <w:rFonts w:ascii="Times New Roman" w:hAnsi="Times New Roman" w:cs="Times New Roman"/>
            <w:color w:val="000000" w:themeColor="text1"/>
            <w:sz w:val="24"/>
            <w:szCs w:val="24"/>
            <w:u w:val="none"/>
            <w:shd w:val="clear" w:color="auto" w:fill="FFFFFF"/>
          </w:rPr>
          <w:t>https://care.diabetesjournals.org/content/diacare/suppl/2018/12/17/42.Supplement_1.DC1/DC_42_S1_2019_UPDATED.pdf</w:t>
        </w:r>
      </w:hyperlink>
    </w:p>
    <w:p w:rsidR="00B37CE6" w:rsidRPr="00B37CE6" w:rsidRDefault="007F29E4" w:rsidP="00B37CE6">
      <w:pPr>
        <w:spacing w:after="0" w:line="480" w:lineRule="auto"/>
        <w:ind w:left="851" w:hanging="851"/>
        <w:rPr>
          <w:rFonts w:ascii="Times New Roman" w:hAnsi="Times New Roman" w:cs="Times New Roman"/>
          <w:color w:val="000000" w:themeColor="text1"/>
          <w:sz w:val="24"/>
          <w:szCs w:val="24"/>
          <w:shd w:val="clear" w:color="auto" w:fill="FFFFFF"/>
        </w:rPr>
      </w:pPr>
      <w:r w:rsidRPr="00B37CE6">
        <w:rPr>
          <w:rFonts w:ascii="Times New Roman" w:hAnsi="Times New Roman" w:cs="Times New Roman"/>
          <w:color w:val="000000" w:themeColor="text1"/>
          <w:sz w:val="24"/>
          <w:szCs w:val="24"/>
          <w:shd w:val="clear" w:color="auto" w:fill="FFFFFF"/>
        </w:rPr>
        <w:t>Aronow W. S. (2018). Antihypertensive drug therapy. </w:t>
      </w:r>
      <w:r w:rsidRPr="00B37CE6">
        <w:rPr>
          <w:rFonts w:ascii="Times New Roman" w:hAnsi="Times New Roman" w:cs="Times New Roman"/>
          <w:i/>
          <w:iCs/>
          <w:color w:val="000000" w:themeColor="text1"/>
          <w:sz w:val="24"/>
          <w:szCs w:val="24"/>
          <w:shd w:val="clear" w:color="auto" w:fill="FFFFFF"/>
        </w:rPr>
        <w:t>Annals of translational medicine</w:t>
      </w:r>
      <w:r w:rsidRPr="00B37CE6">
        <w:rPr>
          <w:rFonts w:ascii="Times New Roman" w:hAnsi="Times New Roman" w:cs="Times New Roman"/>
          <w:color w:val="000000" w:themeColor="text1"/>
          <w:sz w:val="24"/>
          <w:szCs w:val="24"/>
          <w:shd w:val="clear" w:color="auto" w:fill="FFFFFF"/>
        </w:rPr>
        <w:t>, </w:t>
      </w:r>
      <w:r w:rsidRPr="00B37CE6">
        <w:rPr>
          <w:rFonts w:ascii="Times New Roman" w:hAnsi="Times New Roman" w:cs="Times New Roman"/>
          <w:i/>
          <w:iCs/>
          <w:color w:val="000000" w:themeColor="text1"/>
          <w:sz w:val="24"/>
          <w:szCs w:val="24"/>
          <w:shd w:val="clear" w:color="auto" w:fill="FFFFFF"/>
        </w:rPr>
        <w:t>6</w:t>
      </w:r>
      <w:r w:rsidRPr="00B37CE6">
        <w:rPr>
          <w:rFonts w:ascii="Times New Roman" w:hAnsi="Times New Roman" w:cs="Times New Roman"/>
          <w:color w:val="000000" w:themeColor="text1"/>
          <w:sz w:val="24"/>
          <w:szCs w:val="24"/>
          <w:shd w:val="clear" w:color="auto" w:fill="FFFFFF"/>
        </w:rPr>
        <w:t xml:space="preserve">(7), 123. </w:t>
      </w:r>
      <w:hyperlink r:id="rId7" w:history="1">
        <w:r w:rsidRPr="00B37CE6">
          <w:rPr>
            <w:rStyle w:val="Hyperlink"/>
            <w:rFonts w:ascii="Times New Roman" w:hAnsi="Times New Roman" w:cs="Times New Roman"/>
            <w:color w:val="000000" w:themeColor="text1"/>
            <w:sz w:val="24"/>
            <w:szCs w:val="24"/>
            <w:u w:val="none"/>
            <w:shd w:val="clear" w:color="auto" w:fill="FFFFFF"/>
          </w:rPr>
          <w:t>https://doi.org/10.21037/atm.2018.01.26</w:t>
        </w:r>
      </w:hyperlink>
    </w:p>
    <w:p w:rsidR="00B37CE6" w:rsidRPr="00B37CE6" w:rsidRDefault="007F29E4" w:rsidP="00B37CE6">
      <w:pPr>
        <w:spacing w:after="0" w:line="480" w:lineRule="auto"/>
        <w:ind w:left="851" w:hanging="851"/>
        <w:rPr>
          <w:rFonts w:ascii="Times New Roman" w:hAnsi="Times New Roman" w:cs="Times New Roman"/>
          <w:color w:val="000000" w:themeColor="text1"/>
          <w:sz w:val="24"/>
          <w:szCs w:val="24"/>
          <w:shd w:val="clear" w:color="auto" w:fill="FFFFFF"/>
        </w:rPr>
      </w:pPr>
      <w:r w:rsidRPr="00B37CE6">
        <w:rPr>
          <w:rFonts w:ascii="Times New Roman" w:hAnsi="Times New Roman" w:cs="Times New Roman"/>
          <w:color w:val="000000" w:themeColor="text1"/>
          <w:sz w:val="24"/>
          <w:szCs w:val="24"/>
          <w:shd w:val="clear" w:color="auto" w:fill="FFFFFF"/>
        </w:rPr>
        <w:t>de Boer, I., Bangalore, S., Benetos, A., Davis, A., Michos, E., &amp; Muntner, P. et al. (2017). Diabetes and Hypertension: A Position Statement by the American Diabetes Association. </w:t>
      </w:r>
      <w:r w:rsidRPr="00B37CE6">
        <w:rPr>
          <w:rFonts w:ascii="Times New Roman" w:hAnsi="Times New Roman" w:cs="Times New Roman"/>
          <w:i/>
          <w:iCs/>
          <w:color w:val="000000" w:themeColor="text1"/>
          <w:sz w:val="24"/>
          <w:szCs w:val="24"/>
          <w:shd w:val="clear" w:color="auto" w:fill="FFFFFF"/>
        </w:rPr>
        <w:t>Diabetes Care</w:t>
      </w:r>
      <w:r w:rsidRPr="00B37CE6">
        <w:rPr>
          <w:rFonts w:ascii="Times New Roman" w:hAnsi="Times New Roman" w:cs="Times New Roman"/>
          <w:color w:val="000000" w:themeColor="text1"/>
          <w:sz w:val="24"/>
          <w:szCs w:val="24"/>
          <w:shd w:val="clear" w:color="auto" w:fill="FFFFFF"/>
        </w:rPr>
        <w:t>, </w:t>
      </w:r>
      <w:r w:rsidRPr="00B37CE6">
        <w:rPr>
          <w:rFonts w:ascii="Times New Roman" w:hAnsi="Times New Roman" w:cs="Times New Roman"/>
          <w:i/>
          <w:iCs/>
          <w:color w:val="000000" w:themeColor="text1"/>
          <w:sz w:val="24"/>
          <w:szCs w:val="24"/>
          <w:shd w:val="clear" w:color="auto" w:fill="FFFFFF"/>
        </w:rPr>
        <w:t>40</w:t>
      </w:r>
      <w:r w:rsidRPr="00B37CE6">
        <w:rPr>
          <w:rFonts w:ascii="Times New Roman" w:hAnsi="Times New Roman" w:cs="Times New Roman"/>
          <w:color w:val="000000" w:themeColor="text1"/>
          <w:sz w:val="24"/>
          <w:szCs w:val="24"/>
          <w:shd w:val="clear" w:color="auto" w:fill="FFFFFF"/>
        </w:rPr>
        <w:t>(9), 1273-1284. doi: 10.2337/dci17-0026</w:t>
      </w:r>
    </w:p>
    <w:p w:rsidR="00B37CE6" w:rsidRPr="00B37CE6" w:rsidRDefault="007F29E4" w:rsidP="00B37CE6">
      <w:pPr>
        <w:spacing w:after="0" w:line="480" w:lineRule="auto"/>
        <w:ind w:left="851" w:hanging="851"/>
        <w:rPr>
          <w:rFonts w:ascii="Times New Roman" w:hAnsi="Times New Roman" w:cs="Times New Roman"/>
          <w:color w:val="000000" w:themeColor="text1"/>
          <w:sz w:val="24"/>
          <w:szCs w:val="24"/>
          <w:shd w:val="clear" w:color="auto" w:fill="FFFFFF"/>
        </w:rPr>
      </w:pPr>
      <w:r w:rsidRPr="00B37CE6">
        <w:rPr>
          <w:rFonts w:ascii="Times New Roman" w:hAnsi="Times New Roman" w:cs="Times New Roman"/>
          <w:color w:val="000000" w:themeColor="text1"/>
          <w:sz w:val="24"/>
          <w:szCs w:val="24"/>
          <w:shd w:val="clear" w:color="auto" w:fill="FFFFFF"/>
        </w:rPr>
        <w:t>Potpara, T., &amp; Mujovic, N. (2019). Integrating multiple aspects of care for better management of atrial fibrillation: teamwork between physicians and patients. </w:t>
      </w:r>
      <w:r w:rsidRPr="00B37CE6">
        <w:rPr>
          <w:rFonts w:ascii="Times New Roman" w:hAnsi="Times New Roman" w:cs="Times New Roman"/>
          <w:i/>
          <w:iCs/>
          <w:color w:val="000000" w:themeColor="text1"/>
          <w:sz w:val="24"/>
          <w:szCs w:val="24"/>
          <w:shd w:val="clear" w:color="auto" w:fill="FFFFFF"/>
        </w:rPr>
        <w:t>Cardiology Polska</w:t>
      </w:r>
      <w:r w:rsidRPr="00B37CE6">
        <w:rPr>
          <w:rFonts w:ascii="Times New Roman" w:hAnsi="Times New Roman" w:cs="Times New Roman"/>
          <w:color w:val="000000" w:themeColor="text1"/>
          <w:sz w:val="24"/>
          <w:szCs w:val="24"/>
          <w:shd w:val="clear" w:color="auto" w:fill="FFFFFF"/>
        </w:rPr>
        <w:t>, </w:t>
      </w:r>
      <w:r w:rsidRPr="00B37CE6">
        <w:rPr>
          <w:rFonts w:ascii="Times New Roman" w:hAnsi="Times New Roman" w:cs="Times New Roman"/>
          <w:i/>
          <w:iCs/>
          <w:color w:val="000000" w:themeColor="text1"/>
          <w:sz w:val="24"/>
          <w:szCs w:val="24"/>
          <w:shd w:val="clear" w:color="auto" w:fill="FFFFFF"/>
        </w:rPr>
        <w:t>77</w:t>
      </w:r>
      <w:r w:rsidRPr="00B37CE6">
        <w:rPr>
          <w:rFonts w:ascii="Times New Roman" w:hAnsi="Times New Roman" w:cs="Times New Roman"/>
          <w:color w:val="000000" w:themeColor="text1"/>
          <w:sz w:val="24"/>
          <w:szCs w:val="24"/>
          <w:shd w:val="clear" w:color="auto" w:fill="FFFFFF"/>
        </w:rPr>
        <w:t>(4), 415-416. doi: 10.33963/kp.14807</w:t>
      </w:r>
    </w:p>
    <w:p w:rsidR="00B37CE6" w:rsidRPr="00B37CE6" w:rsidRDefault="007F29E4" w:rsidP="00B37CE6">
      <w:pPr>
        <w:spacing w:after="0" w:line="480" w:lineRule="auto"/>
        <w:ind w:left="851" w:hanging="851"/>
        <w:rPr>
          <w:rFonts w:ascii="Times New Roman" w:hAnsi="Times New Roman" w:cs="Times New Roman"/>
          <w:color w:val="000000" w:themeColor="text1"/>
          <w:sz w:val="24"/>
          <w:szCs w:val="24"/>
          <w:shd w:val="clear" w:color="auto" w:fill="FFFFFF"/>
        </w:rPr>
      </w:pPr>
      <w:r w:rsidRPr="00B37CE6">
        <w:rPr>
          <w:rFonts w:ascii="Times New Roman" w:hAnsi="Times New Roman" w:cs="Times New Roman"/>
          <w:color w:val="000000" w:themeColor="text1"/>
          <w:sz w:val="24"/>
          <w:szCs w:val="24"/>
          <w:shd w:val="clear" w:color="auto" w:fill="FFFFFF"/>
        </w:rPr>
        <w:t>Skyler, J. S., Bakris, G. L., Bonifacio, E., Darsow, T., Eckel, R. H., Groop, L., Groop, P. H., Handelsman, Y., Insel, R. A., Mathieu, C., McElvaine, A. T., Palmer, J. P., Pugliese, A., Schatz, D. A., Sosenko, J. M., Wilding, J. P., &amp; Ratner, R. E. (2017). Differentiation of Diabetes by Pathophysiology, Natural History, and Prognosis. </w:t>
      </w:r>
      <w:r w:rsidRPr="00B37CE6">
        <w:rPr>
          <w:rFonts w:ascii="Times New Roman" w:hAnsi="Times New Roman" w:cs="Times New Roman"/>
          <w:i/>
          <w:iCs/>
          <w:color w:val="000000" w:themeColor="text1"/>
          <w:sz w:val="24"/>
          <w:szCs w:val="24"/>
          <w:shd w:val="clear" w:color="auto" w:fill="FFFFFF"/>
        </w:rPr>
        <w:t>Diabetes</w:t>
      </w:r>
      <w:r w:rsidRPr="00B37CE6">
        <w:rPr>
          <w:rFonts w:ascii="Times New Roman" w:hAnsi="Times New Roman" w:cs="Times New Roman"/>
          <w:color w:val="000000" w:themeColor="text1"/>
          <w:sz w:val="24"/>
          <w:szCs w:val="24"/>
          <w:shd w:val="clear" w:color="auto" w:fill="FFFFFF"/>
        </w:rPr>
        <w:t>, </w:t>
      </w:r>
      <w:r w:rsidRPr="00B37CE6">
        <w:rPr>
          <w:rFonts w:ascii="Times New Roman" w:hAnsi="Times New Roman" w:cs="Times New Roman"/>
          <w:i/>
          <w:iCs/>
          <w:color w:val="000000" w:themeColor="text1"/>
          <w:sz w:val="24"/>
          <w:szCs w:val="24"/>
          <w:shd w:val="clear" w:color="auto" w:fill="FFFFFF"/>
        </w:rPr>
        <w:t>66</w:t>
      </w:r>
      <w:r w:rsidRPr="00B37CE6">
        <w:rPr>
          <w:rFonts w:ascii="Times New Roman" w:hAnsi="Times New Roman" w:cs="Times New Roman"/>
          <w:color w:val="000000" w:themeColor="text1"/>
          <w:sz w:val="24"/>
          <w:szCs w:val="24"/>
          <w:shd w:val="clear" w:color="auto" w:fill="FFFFFF"/>
        </w:rPr>
        <w:t xml:space="preserve">(2), 241–255. </w:t>
      </w:r>
      <w:hyperlink r:id="rId8" w:history="1">
        <w:r w:rsidRPr="00B37CE6">
          <w:rPr>
            <w:rStyle w:val="Hyperlink"/>
            <w:rFonts w:ascii="Times New Roman" w:hAnsi="Times New Roman" w:cs="Times New Roman"/>
            <w:color w:val="000000" w:themeColor="text1"/>
            <w:sz w:val="24"/>
            <w:szCs w:val="24"/>
            <w:u w:val="none"/>
            <w:shd w:val="clear" w:color="auto" w:fill="FFFFFF"/>
          </w:rPr>
          <w:t>https://doi.org/10.2337/db16-0806</w:t>
        </w:r>
      </w:hyperlink>
    </w:p>
    <w:sectPr w:rsidR="00B37CE6" w:rsidRPr="00B37CE6" w:rsidSect="001E1571">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A2D" w:rsidRDefault="00655A2D">
      <w:pPr>
        <w:spacing w:after="0" w:line="240" w:lineRule="auto"/>
      </w:pPr>
      <w:r>
        <w:separator/>
      </w:r>
    </w:p>
  </w:endnote>
  <w:endnote w:type="continuationSeparator" w:id="1">
    <w:p w:rsidR="00655A2D" w:rsidRDefault="00655A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A2D" w:rsidRDefault="00655A2D">
      <w:pPr>
        <w:spacing w:after="0" w:line="240" w:lineRule="auto"/>
      </w:pPr>
      <w:r>
        <w:separator/>
      </w:r>
    </w:p>
  </w:footnote>
  <w:footnote w:type="continuationSeparator" w:id="1">
    <w:p w:rsidR="00655A2D" w:rsidRDefault="00655A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71" w:rsidRPr="001E1571" w:rsidRDefault="007F29E4" w:rsidP="001E1571">
    <w:pPr>
      <w:pStyle w:val="Header"/>
      <w:rPr>
        <w:rFonts w:ascii="Times New Roman" w:hAnsi="Times New Roman" w:cs="Times New Roman"/>
        <w:sz w:val="24"/>
        <w:szCs w:val="24"/>
      </w:rPr>
    </w:pPr>
    <w:r w:rsidRPr="001E1571">
      <w:rPr>
        <w:rFonts w:ascii="Times New Roman" w:hAnsi="Times New Roman" w:cs="Times New Roman"/>
        <w:sz w:val="24"/>
        <w:szCs w:val="24"/>
      </w:rPr>
      <w:t xml:space="preserve">CASE </w:t>
    </w:r>
    <w:r w:rsidR="00A12E68">
      <w:rPr>
        <w:rFonts w:ascii="Times New Roman" w:hAnsi="Times New Roman" w:cs="Times New Roman"/>
        <w:sz w:val="24"/>
        <w:szCs w:val="24"/>
      </w:rPr>
      <w:t>#</w:t>
    </w:r>
    <w:r w:rsidRPr="001E1571">
      <w:rPr>
        <w:rFonts w:ascii="Times New Roman" w:hAnsi="Times New Roman" w:cs="Times New Roman"/>
        <w:sz w:val="24"/>
        <w:szCs w:val="24"/>
      </w:rPr>
      <w:t>1</w:t>
    </w:r>
    <w:sdt>
      <w:sdtPr>
        <w:rPr>
          <w:rFonts w:ascii="Times New Roman" w:hAnsi="Times New Roman" w:cs="Times New Roman"/>
          <w:sz w:val="24"/>
          <w:szCs w:val="24"/>
        </w:rPr>
        <w:id w:val="927931317"/>
        <w:docPartObj>
          <w:docPartGallery w:val="Page Numbers (Top of Page)"/>
          <w:docPartUnique/>
        </w:docPartObj>
      </w:sdtPr>
      <w:sdtEndPr>
        <w:rPr>
          <w:noProof/>
        </w:rPr>
      </w:sdtEndPr>
      <w:sdtContent>
        <w:r w:rsidR="00E40F47" w:rsidRPr="001E1571">
          <w:rPr>
            <w:rFonts w:ascii="Times New Roman" w:hAnsi="Times New Roman" w:cs="Times New Roman"/>
            <w:sz w:val="24"/>
            <w:szCs w:val="24"/>
          </w:rPr>
          <w:fldChar w:fldCharType="begin"/>
        </w:r>
        <w:r w:rsidRPr="001E1571">
          <w:rPr>
            <w:rFonts w:ascii="Times New Roman" w:hAnsi="Times New Roman" w:cs="Times New Roman"/>
            <w:sz w:val="24"/>
            <w:szCs w:val="24"/>
          </w:rPr>
          <w:instrText xml:space="preserve"> PAGE   \* MERGEFORMAT </w:instrText>
        </w:r>
        <w:r w:rsidR="00E40F47" w:rsidRPr="001E1571">
          <w:rPr>
            <w:rFonts w:ascii="Times New Roman" w:hAnsi="Times New Roman" w:cs="Times New Roman"/>
            <w:sz w:val="24"/>
            <w:szCs w:val="24"/>
          </w:rPr>
          <w:fldChar w:fldCharType="separate"/>
        </w:r>
        <w:r w:rsidR="00360C99">
          <w:rPr>
            <w:rFonts w:ascii="Times New Roman" w:hAnsi="Times New Roman" w:cs="Times New Roman"/>
            <w:noProof/>
            <w:sz w:val="24"/>
            <w:szCs w:val="24"/>
          </w:rPr>
          <w:t>3</w:t>
        </w:r>
        <w:r w:rsidR="00E40F47" w:rsidRPr="001E1571">
          <w:rPr>
            <w:rFonts w:ascii="Times New Roman" w:hAnsi="Times New Roman" w:cs="Times New Roman"/>
            <w:noProof/>
            <w:sz w:val="24"/>
            <w:szCs w:val="24"/>
          </w:rPr>
          <w:fldChar w:fldCharType="end"/>
        </w:r>
      </w:sdtContent>
    </w:sdt>
  </w:p>
  <w:p w:rsidR="001E1571" w:rsidRDefault="001E15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71" w:rsidRPr="001E1571" w:rsidRDefault="007F29E4" w:rsidP="001E1571">
    <w:pPr>
      <w:pStyle w:val="Header"/>
      <w:rPr>
        <w:rFonts w:ascii="Times New Roman" w:hAnsi="Times New Roman" w:cs="Times New Roman"/>
        <w:sz w:val="24"/>
        <w:szCs w:val="24"/>
      </w:rPr>
    </w:pPr>
    <w:r w:rsidRPr="001E1571">
      <w:rPr>
        <w:rFonts w:ascii="Times New Roman" w:hAnsi="Times New Roman" w:cs="Times New Roman"/>
        <w:sz w:val="24"/>
        <w:szCs w:val="24"/>
      </w:rPr>
      <w:t xml:space="preserve">Running head: CASE </w:t>
    </w:r>
    <w:r w:rsidR="00A12E68">
      <w:rPr>
        <w:rFonts w:ascii="Times New Roman" w:hAnsi="Times New Roman" w:cs="Times New Roman"/>
        <w:sz w:val="24"/>
        <w:szCs w:val="24"/>
      </w:rPr>
      <w:t>#</w:t>
    </w:r>
    <w:r w:rsidRPr="001E1571">
      <w:rPr>
        <w:rFonts w:ascii="Times New Roman" w:hAnsi="Times New Roman" w:cs="Times New Roman"/>
        <w:sz w:val="24"/>
        <w:szCs w:val="24"/>
      </w:rPr>
      <w:t>1</w:t>
    </w:r>
    <w:sdt>
      <w:sdtPr>
        <w:rPr>
          <w:rFonts w:ascii="Times New Roman" w:hAnsi="Times New Roman" w:cs="Times New Roman"/>
          <w:sz w:val="24"/>
          <w:szCs w:val="24"/>
        </w:rPr>
        <w:id w:val="178476865"/>
        <w:docPartObj>
          <w:docPartGallery w:val="Page Numbers (Top of Page)"/>
          <w:docPartUnique/>
        </w:docPartObj>
      </w:sdtPr>
      <w:sdtEndPr>
        <w:rPr>
          <w:noProof/>
        </w:rPr>
      </w:sdtEndPr>
      <w:sdtContent>
        <w:r w:rsidR="00E40F47" w:rsidRPr="001E1571">
          <w:rPr>
            <w:rFonts w:ascii="Times New Roman" w:hAnsi="Times New Roman" w:cs="Times New Roman"/>
            <w:sz w:val="24"/>
            <w:szCs w:val="24"/>
          </w:rPr>
          <w:fldChar w:fldCharType="begin"/>
        </w:r>
        <w:r w:rsidRPr="001E1571">
          <w:rPr>
            <w:rFonts w:ascii="Times New Roman" w:hAnsi="Times New Roman" w:cs="Times New Roman"/>
            <w:sz w:val="24"/>
            <w:szCs w:val="24"/>
          </w:rPr>
          <w:instrText xml:space="preserve"> PAGE   \* MERGEFORMAT </w:instrText>
        </w:r>
        <w:r w:rsidR="00E40F47" w:rsidRPr="001E1571">
          <w:rPr>
            <w:rFonts w:ascii="Times New Roman" w:hAnsi="Times New Roman" w:cs="Times New Roman"/>
            <w:sz w:val="24"/>
            <w:szCs w:val="24"/>
          </w:rPr>
          <w:fldChar w:fldCharType="separate"/>
        </w:r>
        <w:r w:rsidR="00360C99">
          <w:rPr>
            <w:rFonts w:ascii="Times New Roman" w:hAnsi="Times New Roman" w:cs="Times New Roman"/>
            <w:noProof/>
            <w:sz w:val="24"/>
            <w:szCs w:val="24"/>
          </w:rPr>
          <w:t>1</w:t>
        </w:r>
        <w:r w:rsidR="00E40F47" w:rsidRPr="001E1571">
          <w:rPr>
            <w:rFonts w:ascii="Times New Roman" w:hAnsi="Times New Roman" w:cs="Times New Roman"/>
            <w:noProof/>
            <w:sz w:val="24"/>
            <w:szCs w:val="24"/>
          </w:rPr>
          <w:fldChar w:fldCharType="end"/>
        </w:r>
      </w:sdtContent>
    </w:sdt>
  </w:p>
  <w:p w:rsidR="001E1571" w:rsidRPr="001E1571" w:rsidRDefault="001E157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MwMDE0NjAxMDA2tzRT0lEKTi0uzszPAykwqgUAKm+V3SwAAAA="/>
  </w:docVars>
  <w:rsids>
    <w:rsidRoot w:val="00C43E8C"/>
    <w:rsid w:val="00025DBE"/>
    <w:rsid w:val="00053AE6"/>
    <w:rsid w:val="000C7873"/>
    <w:rsid w:val="000F37DA"/>
    <w:rsid w:val="001E1571"/>
    <w:rsid w:val="002D0D09"/>
    <w:rsid w:val="00360C99"/>
    <w:rsid w:val="003661D2"/>
    <w:rsid w:val="003E2BD2"/>
    <w:rsid w:val="0044455D"/>
    <w:rsid w:val="004738A8"/>
    <w:rsid w:val="00655A2D"/>
    <w:rsid w:val="006D4783"/>
    <w:rsid w:val="007A1C4E"/>
    <w:rsid w:val="007F29E4"/>
    <w:rsid w:val="008A2FDD"/>
    <w:rsid w:val="009A195F"/>
    <w:rsid w:val="009C0EF0"/>
    <w:rsid w:val="00A12E68"/>
    <w:rsid w:val="00A72539"/>
    <w:rsid w:val="00A81E10"/>
    <w:rsid w:val="00AA2E8B"/>
    <w:rsid w:val="00AD09A9"/>
    <w:rsid w:val="00B37CE6"/>
    <w:rsid w:val="00C41C8F"/>
    <w:rsid w:val="00C43E8C"/>
    <w:rsid w:val="00C65A20"/>
    <w:rsid w:val="00CE25B6"/>
    <w:rsid w:val="00E40F47"/>
    <w:rsid w:val="00E7525E"/>
    <w:rsid w:val="00EC6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D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195F"/>
    <w:rPr>
      <w:color w:val="0563C1" w:themeColor="hyperlink"/>
      <w:u w:val="single"/>
    </w:rPr>
  </w:style>
  <w:style w:type="character" w:customStyle="1" w:styleId="UnresolvedMention1">
    <w:name w:val="Unresolved Mention1"/>
    <w:basedOn w:val="DefaultParagraphFont"/>
    <w:uiPriority w:val="99"/>
    <w:semiHidden/>
    <w:unhideWhenUsed/>
    <w:rsid w:val="009A195F"/>
    <w:rPr>
      <w:color w:val="605E5C"/>
      <w:shd w:val="clear" w:color="auto" w:fill="E1DFDD"/>
    </w:rPr>
  </w:style>
  <w:style w:type="paragraph" w:styleId="Header">
    <w:name w:val="header"/>
    <w:basedOn w:val="Normal"/>
    <w:link w:val="HeaderChar"/>
    <w:uiPriority w:val="99"/>
    <w:unhideWhenUsed/>
    <w:rsid w:val="001E15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571"/>
  </w:style>
  <w:style w:type="paragraph" w:styleId="Footer">
    <w:name w:val="footer"/>
    <w:basedOn w:val="Normal"/>
    <w:link w:val="FooterChar"/>
    <w:uiPriority w:val="99"/>
    <w:unhideWhenUsed/>
    <w:rsid w:val="001E15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5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37/db16-0806" TargetMode="External"/><Relationship Id="rId3" Type="http://schemas.openxmlformats.org/officeDocument/2006/relationships/webSettings" Target="webSettings.xml"/><Relationship Id="rId7" Type="http://schemas.openxmlformats.org/officeDocument/2006/relationships/hyperlink" Target="https://doi.org/10.21037/atm.2018.01.2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re.diabetesjournals.org/content/diacare/suppl/2018/12/17/42.Supplement_1.DC1/DC_42_S1_2019_UPDATED.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2020-06-17T11:39:00Z</dcterms:created>
  <dcterms:modified xsi:type="dcterms:W3CDTF">2020-06-17T11:39:00Z</dcterms:modified>
</cp:coreProperties>
</file>